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B7394" w:rsidRPr="001B5589" w:rsidRDefault="00643054" w:rsidP="009B7394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643054">
              <w:rPr>
                <w:rFonts w:eastAsia="Calibri"/>
                <w:b/>
                <w:sz w:val="32"/>
                <w:szCs w:val="32"/>
              </w:rPr>
              <w:t xml:space="preserve">Denitrifying Bioreactor </w:t>
            </w:r>
            <w:r w:rsidR="007D1275">
              <w:rPr>
                <w:rFonts w:eastAsia="Calibri"/>
                <w:b/>
                <w:sz w:val="32"/>
                <w:szCs w:val="32"/>
              </w:rPr>
              <w:t>(</w:t>
            </w:r>
            <w:r>
              <w:rPr>
                <w:rFonts w:eastAsia="Calibri"/>
                <w:b/>
                <w:sz w:val="32"/>
                <w:szCs w:val="32"/>
              </w:rPr>
              <w:t>No</w:t>
            </w:r>
            <w:r w:rsidR="00166C94">
              <w:rPr>
                <w:rFonts w:eastAsia="Calibri"/>
                <w:b/>
                <w:sz w:val="32"/>
                <w:szCs w:val="32"/>
              </w:rPr>
              <w:t xml:space="preserve">) </w:t>
            </w:r>
            <w:r>
              <w:rPr>
                <w:rFonts w:eastAsia="Calibri"/>
                <w:b/>
                <w:sz w:val="32"/>
                <w:szCs w:val="32"/>
              </w:rPr>
              <w:t>605</w:t>
            </w:r>
          </w:p>
          <w:p w:rsidR="00643054" w:rsidRPr="00643054" w:rsidRDefault="00711DD8" w:rsidP="0064305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43054" w:rsidRPr="00643054">
              <w:rPr>
                <w:rFonts w:eastAsia="Calibri"/>
                <w:b/>
                <w:sz w:val="22"/>
                <w:szCs w:val="22"/>
              </w:rPr>
              <w:t>A structure containing a carbon source, installed to reduce the concentration of nitrate nitrogen in subsurface agricultural drainage flow via enhanced denitrification.</w:t>
            </w:r>
          </w:p>
          <w:p w:rsidR="00694954" w:rsidRDefault="0069495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035CA">
              <w:rPr>
                <w:rFonts w:eastAsia="Calibri"/>
                <w:b/>
                <w:sz w:val="22"/>
                <w:szCs w:val="22"/>
              </w:rPr>
              <w:t>Water quality.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035CA">
              <w:rPr>
                <w:rFonts w:eastAsia="Calibri"/>
                <w:b/>
                <w:sz w:val="22"/>
                <w:szCs w:val="22"/>
              </w:rPr>
              <w:t>Irrigation return flows near critical wetland habitat.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706FB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2C7065" w:rsidRPr="009B7394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7065" w:rsidRDefault="002C7065" w:rsidP="002C706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6F1725" w:rsidRPr="00D035CA" w:rsidRDefault="00D035CA" w:rsidP="00190AEF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035CA">
              <w:rPr>
                <w:rFonts w:eastAsia="Calibri"/>
                <w:b/>
                <w:sz w:val="22"/>
                <w:szCs w:val="22"/>
              </w:rPr>
              <w:t>Improved soil health.</w:t>
            </w:r>
          </w:p>
          <w:p w:rsidR="006F1725" w:rsidRPr="006F1725" w:rsidRDefault="006F1725" w:rsidP="00D035C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6F1725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6F1725" w:rsidRPr="006F1725" w:rsidRDefault="006F1725" w:rsidP="006F172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6F1725">
              <w:rPr>
                <w:rFonts w:eastAsia="Calibri"/>
                <w:b/>
                <w:sz w:val="22"/>
                <w:szCs w:val="22"/>
              </w:rPr>
              <w:t>Reactors remove 30 to 60% of the nitrogen load coming from a drain pipe</w:t>
            </w:r>
            <w:r w:rsidR="00D035CA">
              <w:rPr>
                <w:rFonts w:eastAsia="Calibri"/>
                <w:b/>
                <w:sz w:val="22"/>
                <w:szCs w:val="22"/>
              </w:rPr>
              <w:t xml:space="preserve"> improving surface and ground water quality</w:t>
            </w:r>
            <w:r w:rsidRPr="006F1725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F1725" w:rsidRPr="006F1725" w:rsidRDefault="006F1725" w:rsidP="00D035C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6F1725">
              <w:rPr>
                <w:rFonts w:eastAsia="Calibri"/>
                <w:b/>
                <w:sz w:val="22"/>
                <w:szCs w:val="22"/>
              </w:rPr>
              <w:t>Air</w:t>
            </w:r>
          </w:p>
          <w:p w:rsidR="006F1725" w:rsidRPr="006F1725" w:rsidRDefault="00D035CA" w:rsidP="006F172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e</w:t>
            </w:r>
            <w:r w:rsidR="006F1725" w:rsidRPr="006F1725">
              <w:rPr>
                <w:rFonts w:eastAsia="Calibri"/>
                <w:b/>
                <w:sz w:val="22"/>
                <w:szCs w:val="22"/>
              </w:rPr>
              <w:t>missions of greenhouse gases</w:t>
            </w:r>
            <w:r>
              <w:rPr>
                <w:rFonts w:eastAsia="Calibri"/>
                <w:b/>
                <w:sz w:val="22"/>
                <w:szCs w:val="22"/>
              </w:rPr>
              <w:t>, preventing n</w:t>
            </w:r>
            <w:r w:rsidR="006F1725" w:rsidRPr="006F1725">
              <w:rPr>
                <w:rFonts w:eastAsia="Calibri"/>
                <w:b/>
                <w:sz w:val="22"/>
                <w:szCs w:val="22"/>
              </w:rPr>
              <w:t>itrogen becom</w:t>
            </w:r>
            <w:r>
              <w:rPr>
                <w:rFonts w:eastAsia="Calibri"/>
                <w:b/>
                <w:sz w:val="22"/>
                <w:szCs w:val="22"/>
              </w:rPr>
              <w:t xml:space="preserve">ing </w:t>
            </w:r>
            <w:r w:rsidR="006F1725" w:rsidRPr="006F1725">
              <w:rPr>
                <w:rFonts w:eastAsia="Calibri"/>
                <w:b/>
                <w:sz w:val="22"/>
                <w:szCs w:val="22"/>
              </w:rPr>
              <w:t>ammonia gas.</w:t>
            </w:r>
          </w:p>
          <w:p w:rsidR="006F1725" w:rsidRPr="006F1725" w:rsidRDefault="006F1725" w:rsidP="00D035C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6F1725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6F1725" w:rsidRPr="006F1725" w:rsidRDefault="00D035CA" w:rsidP="006F172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change.</w:t>
            </w:r>
          </w:p>
          <w:p w:rsidR="006F1725" w:rsidRPr="006F1725" w:rsidRDefault="006F1725" w:rsidP="00D035C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6F1725"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6F1725" w:rsidRPr="006F1725" w:rsidRDefault="00D035CA" w:rsidP="006F172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Livestock and wildlife water improved.</w:t>
            </w:r>
          </w:p>
          <w:p w:rsidR="002C7065" w:rsidRPr="00B05022" w:rsidRDefault="002C7065" w:rsidP="002C706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2C7065" w:rsidRPr="00D035CA" w:rsidRDefault="00D035CA" w:rsidP="00D035C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035CA">
              <w:rPr>
                <w:rFonts w:eastAsia="Calibri"/>
                <w:b/>
                <w:sz w:val="22"/>
                <w:szCs w:val="22"/>
              </w:rPr>
              <w:t>No change.</w:t>
            </w:r>
          </w:p>
          <w:p w:rsidR="006F28D0" w:rsidRPr="00B05022" w:rsidRDefault="006F28D0" w:rsidP="006F28D0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D035CA" w:rsidRPr="009B2A04" w:rsidRDefault="00D035CA" w:rsidP="00D035C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Pr="009B2A04">
              <w:rPr>
                <w:rFonts w:eastAsia="Calibri"/>
                <w:b/>
                <w:sz w:val="22"/>
                <w:szCs w:val="22"/>
              </w:rPr>
              <w:t>reate sustainability of natural resources that support your business.</w:t>
            </w:r>
          </w:p>
          <w:p w:rsidR="00D035CA" w:rsidRPr="009B2A04" w:rsidRDefault="00D035CA" w:rsidP="00D035C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B2A04"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:rsidR="00D035CA" w:rsidRPr="009B2A04" w:rsidRDefault="00D035CA" w:rsidP="00D035C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B2A04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:rsidR="00D035CA" w:rsidRPr="009B2A04" w:rsidRDefault="00D035CA" w:rsidP="00D035C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B2A04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:rsidR="00D035CA" w:rsidRPr="009B2A04" w:rsidRDefault="00D035CA" w:rsidP="00D035C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B2A04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:rsidR="00D035CA" w:rsidRPr="009B2A04" w:rsidRDefault="00D035CA" w:rsidP="00D035C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B2A04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:rsidR="00D035CA" w:rsidRPr="009B2A04" w:rsidRDefault="0024579A" w:rsidP="00D035C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be eligible for cost share.</w:t>
            </w:r>
          </w:p>
          <w:p w:rsidR="00D035CA" w:rsidRPr="001D7ADB" w:rsidRDefault="00D035CA" w:rsidP="00D035CA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 w:rsidRPr="009B2A04">
              <w:rPr>
                <w:rFonts w:eastAsia="Calibri"/>
                <w:b/>
                <w:sz w:val="22"/>
                <w:szCs w:val="22"/>
              </w:rPr>
              <w:t>Increased profitability in the long run.</w:t>
            </w:r>
          </w:p>
          <w:p w:rsidR="002C7065" w:rsidRPr="009B7394" w:rsidRDefault="002C7065" w:rsidP="002C706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7065" w:rsidRPr="000029B9" w:rsidRDefault="002C7065" w:rsidP="002C706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2C7065" w:rsidRPr="00D035CA" w:rsidRDefault="00D035CA" w:rsidP="00190AE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035CA">
              <w:rPr>
                <w:rFonts w:eastAsia="Calibri"/>
                <w:b/>
                <w:sz w:val="22"/>
                <w:szCs w:val="22"/>
              </w:rPr>
              <w:t>No change.</w:t>
            </w:r>
          </w:p>
          <w:p w:rsidR="002C7065" w:rsidRPr="000029B9" w:rsidRDefault="002C7065" w:rsidP="002C706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2C7065" w:rsidRDefault="00D035CA" w:rsidP="002C706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Installation and material costs.</w:t>
            </w:r>
          </w:p>
          <w:p w:rsidR="002C7065" w:rsidRPr="000029B9" w:rsidRDefault="002C7065" w:rsidP="002C706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2C7065" w:rsidRPr="000029B9" w:rsidRDefault="00D035CA" w:rsidP="002C706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 in labor maintaining equipment.</w:t>
            </w:r>
          </w:p>
          <w:p w:rsidR="002C7065" w:rsidRPr="000029B9" w:rsidRDefault="002C7065" w:rsidP="002C706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D035CA" w:rsidRPr="00D035CA" w:rsidRDefault="00D035CA" w:rsidP="00D035CA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035CA">
              <w:rPr>
                <w:rFonts w:eastAsia="Calibri"/>
                <w:b/>
                <w:sz w:val="22"/>
                <w:szCs w:val="22"/>
              </w:rPr>
              <w:t>No change.</w:t>
            </w:r>
          </w:p>
          <w:p w:rsidR="002C7065" w:rsidRPr="000029B9" w:rsidRDefault="002C7065" w:rsidP="002C706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2C7065" w:rsidRPr="007838F5" w:rsidRDefault="00D035CA" w:rsidP="002C706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increase in risk.</w:t>
            </w:r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D035CA" w:rsidRDefault="003A29C8" w:rsidP="00D035C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035CA">
              <w:rPr>
                <w:rFonts w:eastAsia="Calibri"/>
                <w:b/>
                <w:sz w:val="22"/>
                <w:szCs w:val="22"/>
              </w:rPr>
              <w:t xml:space="preserve">Protect water quality 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at a </w:t>
            </w:r>
            <w:r w:rsidR="00D035CA">
              <w:rPr>
                <w:rFonts w:eastAsia="Calibri"/>
                <w:b/>
                <w:sz w:val="22"/>
                <w:szCs w:val="22"/>
              </w:rPr>
              <w:t>low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 cost.</w:t>
            </w:r>
          </w:p>
        </w:tc>
      </w:tr>
    </w:tbl>
    <w:p w:rsidR="009B7394" w:rsidRDefault="009B7394" w:rsidP="003A29C8"/>
    <w:p w:rsidR="0009202C" w:rsidRDefault="00330DFD" w:rsidP="000029B9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 xml:space="preserve">Commonly </w:t>
      </w:r>
      <w:r w:rsidR="008522AD" w:rsidRPr="008522AD">
        <w:rPr>
          <w:rFonts w:eastAsia="Calibri"/>
          <w:b/>
          <w:sz w:val="22"/>
          <w:szCs w:val="22"/>
        </w:rPr>
        <w:t>Associated Practices:</w:t>
      </w:r>
      <w:r w:rsidR="008522AD">
        <w:rPr>
          <w:rFonts w:eastAsia="Calibri"/>
          <w:b/>
          <w:sz w:val="22"/>
          <w:szCs w:val="22"/>
        </w:rPr>
        <w:t xml:space="preserve"> </w:t>
      </w:r>
      <w:r w:rsidR="006F28D0" w:rsidRPr="006F28D0">
        <w:rPr>
          <w:rFonts w:eastAsia="Calibri"/>
          <w:sz w:val="22"/>
          <w:szCs w:val="22"/>
        </w:rPr>
        <w:t>Nutrient Management</w:t>
      </w:r>
      <w:r w:rsidR="006F28D0">
        <w:rPr>
          <w:rFonts w:eastAsia="Calibri"/>
          <w:sz w:val="22"/>
          <w:szCs w:val="22"/>
        </w:rPr>
        <w:t>.</w:t>
      </w:r>
    </w:p>
    <w:p w:rsidR="008522AD" w:rsidRDefault="008522AD" w:rsidP="000029B9">
      <w:pPr>
        <w:rPr>
          <w:rFonts w:eastAsia="Calibri"/>
          <w:b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bookmarkEnd w:id="0"/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EF" w:rsidRDefault="00190AEF" w:rsidP="00E50E56">
      <w:r>
        <w:separator/>
      </w:r>
    </w:p>
  </w:endnote>
  <w:endnote w:type="continuationSeparator" w:id="0">
    <w:p w:rsidR="00190AEF" w:rsidRDefault="00190AEF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FB" w:rsidRDefault="00D706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FB" w:rsidRDefault="00D706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FB" w:rsidRDefault="00D70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EF" w:rsidRDefault="00190AEF" w:rsidP="00E50E56">
      <w:r>
        <w:separator/>
      </w:r>
    </w:p>
  </w:footnote>
  <w:footnote w:type="continuationSeparator" w:id="0">
    <w:p w:rsidR="00190AEF" w:rsidRDefault="00190AEF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FB" w:rsidRDefault="00D706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FB" w:rsidRDefault="00D706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FB" w:rsidRDefault="00D70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C7BC1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DCE4B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A1"/>
    <w:rsid w:val="00002057"/>
    <w:rsid w:val="000029B9"/>
    <w:rsid w:val="00006A0E"/>
    <w:rsid w:val="00022EBB"/>
    <w:rsid w:val="00032526"/>
    <w:rsid w:val="000377FA"/>
    <w:rsid w:val="00040CBB"/>
    <w:rsid w:val="0009202C"/>
    <w:rsid w:val="000A5F31"/>
    <w:rsid w:val="00106418"/>
    <w:rsid w:val="00166C94"/>
    <w:rsid w:val="00173754"/>
    <w:rsid w:val="00182D82"/>
    <w:rsid w:val="00190AEF"/>
    <w:rsid w:val="001B5589"/>
    <w:rsid w:val="001C6410"/>
    <w:rsid w:val="001D7F5B"/>
    <w:rsid w:val="00204423"/>
    <w:rsid w:val="0024579A"/>
    <w:rsid w:val="00263284"/>
    <w:rsid w:val="002A3DB1"/>
    <w:rsid w:val="002C7065"/>
    <w:rsid w:val="002D159B"/>
    <w:rsid w:val="00330DFD"/>
    <w:rsid w:val="003370DC"/>
    <w:rsid w:val="00342138"/>
    <w:rsid w:val="00343C7C"/>
    <w:rsid w:val="00350791"/>
    <w:rsid w:val="003578DF"/>
    <w:rsid w:val="003A29C8"/>
    <w:rsid w:val="004207CF"/>
    <w:rsid w:val="004549C3"/>
    <w:rsid w:val="004C4A08"/>
    <w:rsid w:val="004C723D"/>
    <w:rsid w:val="004E306E"/>
    <w:rsid w:val="00505E13"/>
    <w:rsid w:val="005341D3"/>
    <w:rsid w:val="00554965"/>
    <w:rsid w:val="005627CE"/>
    <w:rsid w:val="00595731"/>
    <w:rsid w:val="005C559D"/>
    <w:rsid w:val="005C6976"/>
    <w:rsid w:val="00643054"/>
    <w:rsid w:val="00645723"/>
    <w:rsid w:val="00650611"/>
    <w:rsid w:val="00666865"/>
    <w:rsid w:val="00694954"/>
    <w:rsid w:val="006C00ED"/>
    <w:rsid w:val="006F1725"/>
    <w:rsid w:val="006F28D0"/>
    <w:rsid w:val="00706AE1"/>
    <w:rsid w:val="00711DD8"/>
    <w:rsid w:val="007838F5"/>
    <w:rsid w:val="007C4482"/>
    <w:rsid w:val="007C7678"/>
    <w:rsid w:val="007D0674"/>
    <w:rsid w:val="007D1275"/>
    <w:rsid w:val="007D2409"/>
    <w:rsid w:val="007D317E"/>
    <w:rsid w:val="007D3B63"/>
    <w:rsid w:val="00810D55"/>
    <w:rsid w:val="008424D3"/>
    <w:rsid w:val="008522AD"/>
    <w:rsid w:val="00853E18"/>
    <w:rsid w:val="00854001"/>
    <w:rsid w:val="00854EF7"/>
    <w:rsid w:val="0086657C"/>
    <w:rsid w:val="00886C8D"/>
    <w:rsid w:val="00886FA0"/>
    <w:rsid w:val="008C1BA6"/>
    <w:rsid w:val="008C1C20"/>
    <w:rsid w:val="008E56F3"/>
    <w:rsid w:val="008F5B58"/>
    <w:rsid w:val="0091205D"/>
    <w:rsid w:val="009453B3"/>
    <w:rsid w:val="00952D0E"/>
    <w:rsid w:val="00995902"/>
    <w:rsid w:val="009B46AF"/>
    <w:rsid w:val="009B7394"/>
    <w:rsid w:val="009C04A1"/>
    <w:rsid w:val="009C19F7"/>
    <w:rsid w:val="009D1C0B"/>
    <w:rsid w:val="009F0E16"/>
    <w:rsid w:val="00A12376"/>
    <w:rsid w:val="00A14720"/>
    <w:rsid w:val="00A17F11"/>
    <w:rsid w:val="00A2698B"/>
    <w:rsid w:val="00A5079F"/>
    <w:rsid w:val="00A557F9"/>
    <w:rsid w:val="00A7779E"/>
    <w:rsid w:val="00AA1CCE"/>
    <w:rsid w:val="00AB2E5A"/>
    <w:rsid w:val="00AE3E01"/>
    <w:rsid w:val="00AF48EC"/>
    <w:rsid w:val="00B030E3"/>
    <w:rsid w:val="00B04F07"/>
    <w:rsid w:val="00B05022"/>
    <w:rsid w:val="00B35B87"/>
    <w:rsid w:val="00B4441F"/>
    <w:rsid w:val="00B60356"/>
    <w:rsid w:val="00B9511E"/>
    <w:rsid w:val="00BF5FD2"/>
    <w:rsid w:val="00C54A43"/>
    <w:rsid w:val="00C57ACD"/>
    <w:rsid w:val="00C62F2B"/>
    <w:rsid w:val="00C750D1"/>
    <w:rsid w:val="00C874DC"/>
    <w:rsid w:val="00D01E7B"/>
    <w:rsid w:val="00D035CA"/>
    <w:rsid w:val="00D1683D"/>
    <w:rsid w:val="00D2403C"/>
    <w:rsid w:val="00D308C1"/>
    <w:rsid w:val="00D353CD"/>
    <w:rsid w:val="00D371F6"/>
    <w:rsid w:val="00D42883"/>
    <w:rsid w:val="00D625A3"/>
    <w:rsid w:val="00D706FB"/>
    <w:rsid w:val="00D759DB"/>
    <w:rsid w:val="00D774F6"/>
    <w:rsid w:val="00DE1D9F"/>
    <w:rsid w:val="00DE4C6D"/>
    <w:rsid w:val="00E25E0B"/>
    <w:rsid w:val="00E50E56"/>
    <w:rsid w:val="00E72149"/>
    <w:rsid w:val="00E94A83"/>
    <w:rsid w:val="00EB75E1"/>
    <w:rsid w:val="00ED0A9B"/>
    <w:rsid w:val="00F07EE8"/>
    <w:rsid w:val="00F606E2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695EC-12B2-4B45-9CF6-8E00BC5F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16</cp:revision>
  <cp:lastPrinted>1997-05-22T21:53:00Z</cp:lastPrinted>
  <dcterms:created xsi:type="dcterms:W3CDTF">2015-10-15T17:51:00Z</dcterms:created>
  <dcterms:modified xsi:type="dcterms:W3CDTF">2016-08-31T17:51:00Z</dcterms:modified>
</cp:coreProperties>
</file>