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1D" w:rsidRPr="00A8090C" w:rsidRDefault="00260B1D" w:rsidP="00260B1D">
      <w:pPr>
        <w:rPr>
          <w:sz w:val="22"/>
          <w:szCs w:val="22"/>
        </w:rPr>
      </w:pPr>
    </w:p>
    <w:p w:rsidR="00D637F0" w:rsidRPr="00A8090C" w:rsidRDefault="006F2599">
      <w:pPr>
        <w:rPr>
          <w:sz w:val="22"/>
          <w:szCs w:val="22"/>
        </w:rPr>
      </w:pPr>
      <w:r>
        <w:rPr>
          <w:sz w:val="22"/>
          <w:szCs w:val="22"/>
        </w:rPr>
        <w:t>October 23</w:t>
      </w:r>
      <w:r w:rsidR="00A8090C" w:rsidRPr="00A8090C">
        <w:rPr>
          <w:sz w:val="22"/>
          <w:szCs w:val="22"/>
        </w:rPr>
        <w:t>, 2012</w:t>
      </w:r>
    </w:p>
    <w:p w:rsidR="00A8090C" w:rsidRPr="00A8090C" w:rsidRDefault="00A8090C">
      <w:pPr>
        <w:rPr>
          <w:sz w:val="22"/>
          <w:szCs w:val="22"/>
        </w:rPr>
      </w:pPr>
    </w:p>
    <w:p w:rsidR="00A8090C" w:rsidRPr="00A8090C" w:rsidRDefault="00A8090C" w:rsidP="00A8090C">
      <w:pPr>
        <w:autoSpaceDE w:val="0"/>
        <w:autoSpaceDN w:val="0"/>
        <w:adjustRightInd w:val="0"/>
        <w:rPr>
          <w:rFonts w:cs="Arial"/>
          <w:b/>
          <w:sz w:val="22"/>
          <w:szCs w:val="22"/>
        </w:rPr>
      </w:pPr>
      <w:r w:rsidRPr="00A8090C">
        <w:rPr>
          <w:b/>
          <w:sz w:val="22"/>
          <w:szCs w:val="22"/>
        </w:rPr>
        <w:t>Subject:</w:t>
      </w:r>
      <w:r>
        <w:rPr>
          <w:sz w:val="24"/>
          <w:szCs w:val="24"/>
        </w:rPr>
        <w:t xml:space="preserve"> </w:t>
      </w:r>
      <w:r w:rsidRPr="00A8090C">
        <w:rPr>
          <w:rFonts w:cs="Arial"/>
          <w:sz w:val="22"/>
          <w:szCs w:val="22"/>
        </w:rPr>
        <w:t>LTP-Easement Compensation Proc</w:t>
      </w:r>
      <w:r w:rsidR="007E5C04">
        <w:rPr>
          <w:rFonts w:cs="Arial"/>
          <w:sz w:val="22"/>
          <w:szCs w:val="22"/>
        </w:rPr>
        <w:t xml:space="preserve">edure </w:t>
      </w:r>
      <w:r w:rsidR="007E046E">
        <w:rPr>
          <w:rFonts w:cs="Arial"/>
          <w:sz w:val="22"/>
          <w:szCs w:val="22"/>
        </w:rPr>
        <w:t xml:space="preserve">for FY2013 </w:t>
      </w:r>
      <w:r w:rsidR="007E5C04">
        <w:rPr>
          <w:rFonts w:cs="Arial"/>
          <w:sz w:val="22"/>
          <w:szCs w:val="22"/>
        </w:rPr>
        <w:t>Grassland Reserve Program (G</w:t>
      </w:r>
      <w:r w:rsidRPr="00A8090C">
        <w:rPr>
          <w:rFonts w:cs="Arial"/>
          <w:sz w:val="22"/>
          <w:szCs w:val="22"/>
        </w:rPr>
        <w:t>RP)</w:t>
      </w:r>
      <w:r w:rsidR="007E046E">
        <w:rPr>
          <w:rFonts w:cs="Arial"/>
          <w:sz w:val="22"/>
          <w:szCs w:val="22"/>
        </w:rPr>
        <w:t xml:space="preserve"> A</w:t>
      </w:r>
      <w:r w:rsidR="00423A3D">
        <w:rPr>
          <w:rFonts w:cs="Arial"/>
          <w:sz w:val="22"/>
          <w:szCs w:val="22"/>
        </w:rPr>
        <w:t>greements</w:t>
      </w:r>
    </w:p>
    <w:p w:rsidR="00A8090C" w:rsidRDefault="00A8090C">
      <w:pPr>
        <w:rPr>
          <w:sz w:val="22"/>
          <w:szCs w:val="22"/>
        </w:rPr>
      </w:pPr>
    </w:p>
    <w:p w:rsidR="00A8090C" w:rsidRDefault="00A8090C">
      <w:pPr>
        <w:rPr>
          <w:sz w:val="22"/>
          <w:szCs w:val="22"/>
        </w:rPr>
      </w:pPr>
    </w:p>
    <w:p w:rsidR="00A8090C" w:rsidRDefault="00A8090C">
      <w:pPr>
        <w:rPr>
          <w:sz w:val="22"/>
          <w:szCs w:val="22"/>
        </w:rPr>
      </w:pPr>
      <w:r w:rsidRPr="00A8090C">
        <w:rPr>
          <w:b/>
          <w:sz w:val="22"/>
          <w:szCs w:val="22"/>
        </w:rPr>
        <w:t>TO:</w:t>
      </w:r>
      <w:r>
        <w:rPr>
          <w:sz w:val="22"/>
          <w:szCs w:val="22"/>
        </w:rPr>
        <w:t xml:space="preserve"> Washington State Technical Advisory Committee</w:t>
      </w:r>
    </w:p>
    <w:p w:rsidR="00A8090C" w:rsidRDefault="00A8090C">
      <w:pPr>
        <w:rPr>
          <w:sz w:val="22"/>
          <w:szCs w:val="22"/>
        </w:rPr>
      </w:pPr>
    </w:p>
    <w:p w:rsidR="00A8090C" w:rsidRDefault="00A8090C">
      <w:pPr>
        <w:rPr>
          <w:sz w:val="22"/>
          <w:szCs w:val="22"/>
        </w:rPr>
      </w:pPr>
    </w:p>
    <w:p w:rsidR="00A52786" w:rsidRDefault="00A52786" w:rsidP="00A52786">
      <w:pPr>
        <w:autoSpaceDE w:val="0"/>
        <w:autoSpaceDN w:val="0"/>
        <w:adjustRightInd w:val="0"/>
        <w:rPr>
          <w:rFonts w:cs="Verdana_5"/>
          <w:sz w:val="22"/>
          <w:szCs w:val="22"/>
        </w:rPr>
      </w:pPr>
      <w:r w:rsidRPr="00A52786">
        <w:rPr>
          <w:rFonts w:cs="Verdana"/>
          <w:sz w:val="22"/>
          <w:szCs w:val="22"/>
        </w:rPr>
        <w:t>NRCS must ensure that GRP easement compensation does not exceed the fair market</w:t>
      </w:r>
      <w:r>
        <w:rPr>
          <w:rFonts w:cs="Verdana"/>
          <w:sz w:val="22"/>
          <w:szCs w:val="22"/>
        </w:rPr>
        <w:t xml:space="preserve"> </w:t>
      </w:r>
      <w:r w:rsidRPr="00A52786">
        <w:rPr>
          <w:rFonts w:cs="Verdana"/>
          <w:sz w:val="22"/>
          <w:szCs w:val="22"/>
        </w:rPr>
        <w:t>value of the land less the grazing value of the land encumbered by the GRP conservation easement.</w:t>
      </w:r>
      <w:r>
        <w:rPr>
          <w:rFonts w:cs="Verdana"/>
          <w:sz w:val="22"/>
          <w:szCs w:val="22"/>
        </w:rPr>
        <w:t xml:space="preserve"> </w:t>
      </w:r>
      <w:r w:rsidR="000049E4">
        <w:rPr>
          <w:rFonts w:cs="Verdana"/>
          <w:sz w:val="22"/>
          <w:szCs w:val="22"/>
        </w:rPr>
        <w:t>Each fiscal year</w:t>
      </w:r>
      <w:r w:rsidRPr="00A52786">
        <w:rPr>
          <w:rFonts w:cs="Verdana"/>
          <w:sz w:val="22"/>
          <w:szCs w:val="22"/>
        </w:rPr>
        <w:t xml:space="preserve">, the State Conservationist, in consultation with the State Technical </w:t>
      </w:r>
      <w:r w:rsidR="000049E4">
        <w:rPr>
          <w:rFonts w:cs="Verdana"/>
          <w:sz w:val="22"/>
          <w:szCs w:val="22"/>
        </w:rPr>
        <w:t xml:space="preserve">Advisory </w:t>
      </w:r>
      <w:r w:rsidRPr="00A52786">
        <w:rPr>
          <w:rFonts w:cs="Verdana"/>
          <w:sz w:val="22"/>
          <w:szCs w:val="22"/>
        </w:rPr>
        <w:t>Committee (ST</w:t>
      </w:r>
      <w:r w:rsidR="000049E4">
        <w:rPr>
          <w:rFonts w:cs="Verdana"/>
          <w:sz w:val="22"/>
          <w:szCs w:val="22"/>
        </w:rPr>
        <w:t>A</w:t>
      </w:r>
      <w:r w:rsidRPr="00A52786">
        <w:rPr>
          <w:rFonts w:cs="Verdana"/>
          <w:sz w:val="22"/>
          <w:szCs w:val="22"/>
        </w:rPr>
        <w:t>C),</w:t>
      </w:r>
      <w:r>
        <w:rPr>
          <w:rFonts w:cs="Verdana"/>
          <w:sz w:val="22"/>
          <w:szCs w:val="22"/>
        </w:rPr>
        <w:t xml:space="preserve"> </w:t>
      </w:r>
      <w:r w:rsidRPr="00A52786">
        <w:rPr>
          <w:rFonts w:cs="Verdana"/>
          <w:sz w:val="22"/>
          <w:szCs w:val="22"/>
        </w:rPr>
        <w:t>establishes a process to determine GRP easement compensation values for easements that will be held</w:t>
      </w:r>
      <w:r>
        <w:rPr>
          <w:rFonts w:cs="Verdana"/>
          <w:sz w:val="22"/>
          <w:szCs w:val="22"/>
        </w:rPr>
        <w:t xml:space="preserve"> </w:t>
      </w:r>
      <w:r w:rsidRPr="00A52786">
        <w:rPr>
          <w:rFonts w:cs="Verdana"/>
          <w:sz w:val="22"/>
          <w:szCs w:val="22"/>
        </w:rPr>
        <w:t>by the United States. Further,</w:t>
      </w:r>
      <w:r>
        <w:rPr>
          <w:rFonts w:cs="Verdana"/>
          <w:sz w:val="22"/>
          <w:szCs w:val="22"/>
        </w:rPr>
        <w:t xml:space="preserve"> </w:t>
      </w:r>
      <w:r w:rsidRPr="00A52786">
        <w:rPr>
          <w:rFonts w:cs="Verdana_5"/>
          <w:sz w:val="22"/>
          <w:szCs w:val="22"/>
        </w:rPr>
        <w:t xml:space="preserve">NRCS must compensate landowners by whichever of the following mechanisms yields </w:t>
      </w:r>
      <w:r w:rsidRPr="00423A3D">
        <w:rPr>
          <w:rFonts w:cs="Verdana_5"/>
          <w:sz w:val="22"/>
          <w:szCs w:val="22"/>
        </w:rPr>
        <w:t>the lowest</w:t>
      </w:r>
      <w:r w:rsidRPr="00A52786">
        <w:rPr>
          <w:rFonts w:cs="Verdana_5"/>
          <w:sz w:val="22"/>
          <w:szCs w:val="22"/>
        </w:rPr>
        <w:t xml:space="preserve"> rate:</w:t>
      </w:r>
      <w:r>
        <w:rPr>
          <w:rFonts w:cs="Verdana_5"/>
          <w:sz w:val="22"/>
          <w:szCs w:val="22"/>
        </w:rPr>
        <w:t xml:space="preserve"> </w:t>
      </w:r>
    </w:p>
    <w:p w:rsidR="00A52786" w:rsidRDefault="00A52786" w:rsidP="00A52786">
      <w:pPr>
        <w:autoSpaceDE w:val="0"/>
        <w:autoSpaceDN w:val="0"/>
        <w:adjustRightInd w:val="0"/>
        <w:rPr>
          <w:rFonts w:cs="Verdana_5"/>
          <w:sz w:val="22"/>
          <w:szCs w:val="22"/>
        </w:rPr>
      </w:pPr>
    </w:p>
    <w:p w:rsidR="00A52786" w:rsidRDefault="00A52786" w:rsidP="00A52786">
      <w:pPr>
        <w:autoSpaceDE w:val="0"/>
        <w:autoSpaceDN w:val="0"/>
        <w:adjustRightInd w:val="0"/>
        <w:ind w:left="720"/>
        <w:rPr>
          <w:rFonts w:cs="Verdana_5"/>
          <w:sz w:val="22"/>
          <w:szCs w:val="22"/>
        </w:rPr>
      </w:pPr>
      <w:r w:rsidRPr="00A52786">
        <w:rPr>
          <w:rFonts w:cs="Verdana"/>
          <w:sz w:val="22"/>
          <w:szCs w:val="22"/>
        </w:rPr>
        <w:t>(1) The fair market value of the land</w:t>
      </w:r>
      <w:r w:rsidRPr="00A52786">
        <w:rPr>
          <w:rFonts w:cs="Verdana"/>
          <w:i/>
          <w:iCs/>
          <w:sz w:val="22"/>
          <w:szCs w:val="22"/>
        </w:rPr>
        <w:t xml:space="preserve">. </w:t>
      </w:r>
      <w:r w:rsidRPr="00A52786">
        <w:rPr>
          <w:rFonts w:cs="Verdana_5"/>
          <w:sz w:val="22"/>
          <w:szCs w:val="22"/>
        </w:rPr>
        <w:t>The fair market value</w:t>
      </w:r>
      <w:r w:rsidR="00902771">
        <w:rPr>
          <w:rFonts w:cs="Verdana_5"/>
          <w:sz w:val="22"/>
          <w:szCs w:val="22"/>
        </w:rPr>
        <w:t xml:space="preserve"> (FMV)</w:t>
      </w:r>
      <w:r w:rsidRPr="00A52786">
        <w:rPr>
          <w:rFonts w:cs="Verdana_5"/>
          <w:sz w:val="22"/>
          <w:szCs w:val="22"/>
        </w:rPr>
        <w:t xml:space="preserve"> can be determined through either of</w:t>
      </w:r>
      <w:r>
        <w:rPr>
          <w:rFonts w:cs="Verdana_5"/>
          <w:sz w:val="22"/>
          <w:szCs w:val="22"/>
        </w:rPr>
        <w:t xml:space="preserve"> </w:t>
      </w:r>
      <w:r w:rsidRPr="00A52786">
        <w:rPr>
          <w:rFonts w:cs="Verdana_5"/>
          <w:sz w:val="22"/>
          <w:szCs w:val="22"/>
        </w:rPr>
        <w:t>two methods: an area</w:t>
      </w:r>
      <w:r>
        <w:rPr>
          <w:rFonts w:cs="Verdana_5"/>
          <w:sz w:val="22"/>
          <w:szCs w:val="22"/>
        </w:rPr>
        <w:t xml:space="preserve"> </w:t>
      </w:r>
      <w:r w:rsidRPr="00A52786">
        <w:rPr>
          <w:rFonts w:cs="Verdana_5"/>
          <w:sz w:val="22"/>
          <w:szCs w:val="22"/>
        </w:rPr>
        <w:t>wide market analysis (AWMA) or an individual Uniform Standards for</w:t>
      </w:r>
      <w:r>
        <w:rPr>
          <w:rFonts w:cs="Verdana_5"/>
          <w:sz w:val="22"/>
          <w:szCs w:val="22"/>
        </w:rPr>
        <w:t xml:space="preserve"> </w:t>
      </w:r>
      <w:r w:rsidRPr="00A52786">
        <w:rPr>
          <w:rFonts w:cs="Verdana_5"/>
          <w:sz w:val="22"/>
          <w:szCs w:val="22"/>
        </w:rPr>
        <w:t>Professional Appraisal Practice (USPAP) appraisal.</w:t>
      </w:r>
      <w:r>
        <w:rPr>
          <w:rFonts w:cs="Verdana_5"/>
          <w:sz w:val="22"/>
          <w:szCs w:val="22"/>
        </w:rPr>
        <w:t xml:space="preserve"> </w:t>
      </w:r>
    </w:p>
    <w:p w:rsidR="00A52786" w:rsidRDefault="00A52786" w:rsidP="00A52786">
      <w:pPr>
        <w:autoSpaceDE w:val="0"/>
        <w:autoSpaceDN w:val="0"/>
        <w:adjustRightInd w:val="0"/>
        <w:ind w:left="720"/>
        <w:rPr>
          <w:rFonts w:cs="Verdana"/>
          <w:sz w:val="22"/>
          <w:szCs w:val="22"/>
        </w:rPr>
      </w:pPr>
      <w:r w:rsidRPr="00A52786">
        <w:rPr>
          <w:rFonts w:cs="Verdana_5"/>
          <w:sz w:val="22"/>
          <w:szCs w:val="22"/>
        </w:rPr>
        <w:t xml:space="preserve">(2) </w:t>
      </w:r>
      <w:r w:rsidRPr="00A52786">
        <w:rPr>
          <w:rFonts w:cs="Verdana"/>
          <w:sz w:val="22"/>
          <w:szCs w:val="22"/>
        </w:rPr>
        <w:t>The geographic area rate cap (GARC). The GARC reflects the value the State Conservationist,</w:t>
      </w:r>
      <w:r>
        <w:rPr>
          <w:rFonts w:cs="Verdana"/>
          <w:sz w:val="22"/>
          <w:szCs w:val="22"/>
        </w:rPr>
        <w:t xml:space="preserve"> </w:t>
      </w:r>
      <w:r w:rsidRPr="00A52786">
        <w:rPr>
          <w:rFonts w:cs="Verdana_5"/>
          <w:sz w:val="22"/>
          <w:szCs w:val="22"/>
        </w:rPr>
        <w:t>with the advice of the State Technical Committee, determines to be fair compensation for the value</w:t>
      </w:r>
      <w:r>
        <w:rPr>
          <w:rFonts w:cs="Verdana_5"/>
          <w:sz w:val="22"/>
          <w:szCs w:val="22"/>
        </w:rPr>
        <w:t xml:space="preserve"> </w:t>
      </w:r>
      <w:r w:rsidRPr="00A52786">
        <w:rPr>
          <w:rFonts w:cs="Verdana"/>
          <w:sz w:val="22"/>
          <w:szCs w:val="22"/>
        </w:rPr>
        <w:t>of the easement.</w:t>
      </w:r>
      <w:r>
        <w:rPr>
          <w:rFonts w:cs="Verdana"/>
          <w:sz w:val="22"/>
          <w:szCs w:val="22"/>
        </w:rPr>
        <w:t xml:space="preserve"> </w:t>
      </w:r>
    </w:p>
    <w:p w:rsidR="009B3AA1" w:rsidRPr="00A52786" w:rsidRDefault="00A52786" w:rsidP="00A52786">
      <w:pPr>
        <w:autoSpaceDE w:val="0"/>
        <w:autoSpaceDN w:val="0"/>
        <w:adjustRightInd w:val="0"/>
        <w:ind w:firstLine="720"/>
        <w:rPr>
          <w:sz w:val="22"/>
          <w:szCs w:val="22"/>
        </w:rPr>
      </w:pPr>
      <w:r w:rsidRPr="00A52786">
        <w:rPr>
          <w:rFonts w:cs="Verdana_5"/>
          <w:sz w:val="22"/>
          <w:szCs w:val="22"/>
        </w:rPr>
        <w:t>(3) A voluntary written offer by the landowner.</w:t>
      </w:r>
    </w:p>
    <w:p w:rsidR="00A52786" w:rsidRDefault="00A52786" w:rsidP="009B3AA1">
      <w:pPr>
        <w:rPr>
          <w:sz w:val="22"/>
          <w:szCs w:val="22"/>
        </w:rPr>
      </w:pPr>
    </w:p>
    <w:p w:rsidR="007B224D" w:rsidRDefault="007B224D" w:rsidP="007B224D">
      <w:pPr>
        <w:rPr>
          <w:sz w:val="22"/>
          <w:szCs w:val="22"/>
        </w:rPr>
      </w:pPr>
    </w:p>
    <w:p w:rsidR="007B224D" w:rsidRDefault="007B224D" w:rsidP="007B224D">
      <w:pPr>
        <w:pStyle w:val="ListParagraph"/>
        <w:numPr>
          <w:ilvl w:val="0"/>
          <w:numId w:val="4"/>
        </w:numPr>
        <w:autoSpaceDE w:val="0"/>
        <w:autoSpaceDN w:val="0"/>
        <w:adjustRightInd w:val="0"/>
        <w:rPr>
          <w:rFonts w:cs="Verdana_5"/>
          <w:b/>
          <w:i/>
          <w:sz w:val="22"/>
          <w:szCs w:val="22"/>
        </w:rPr>
      </w:pPr>
      <w:r w:rsidRPr="00A471D2">
        <w:rPr>
          <w:b/>
          <w:i/>
          <w:sz w:val="22"/>
          <w:szCs w:val="22"/>
        </w:rPr>
        <w:t>For fiscal year 2013 NRCS Washington is proposing to utilize individual USPAP appraisals to determine the Fair Market Value</w:t>
      </w:r>
      <w:r w:rsidR="00902771">
        <w:rPr>
          <w:b/>
          <w:i/>
          <w:sz w:val="22"/>
          <w:szCs w:val="22"/>
        </w:rPr>
        <w:t xml:space="preserve"> (FMV)</w:t>
      </w:r>
      <w:r w:rsidRPr="00A471D2">
        <w:rPr>
          <w:b/>
          <w:i/>
          <w:sz w:val="22"/>
          <w:szCs w:val="22"/>
        </w:rPr>
        <w:t xml:space="preserve"> of </w:t>
      </w:r>
      <w:r w:rsidR="00437B13">
        <w:rPr>
          <w:b/>
          <w:i/>
          <w:sz w:val="22"/>
          <w:szCs w:val="22"/>
        </w:rPr>
        <w:t>un</w:t>
      </w:r>
      <w:r w:rsidRPr="00A471D2">
        <w:rPr>
          <w:b/>
          <w:i/>
          <w:sz w:val="22"/>
          <w:szCs w:val="22"/>
        </w:rPr>
        <w:t>encumbered lands</w:t>
      </w:r>
      <w:r w:rsidRPr="00A471D2">
        <w:rPr>
          <w:rFonts w:cs="Verdana_5"/>
          <w:b/>
          <w:i/>
          <w:sz w:val="22"/>
          <w:szCs w:val="22"/>
        </w:rPr>
        <w:t xml:space="preserve">. </w:t>
      </w:r>
    </w:p>
    <w:p w:rsidR="008A4BC7" w:rsidRDefault="008A4BC7" w:rsidP="004219AA">
      <w:pPr>
        <w:autoSpaceDE w:val="0"/>
        <w:autoSpaceDN w:val="0"/>
        <w:adjustRightInd w:val="0"/>
        <w:rPr>
          <w:rFonts w:cs="Verdana_5"/>
          <w:sz w:val="22"/>
          <w:szCs w:val="22"/>
        </w:rPr>
      </w:pPr>
    </w:p>
    <w:p w:rsidR="008E2274" w:rsidRPr="004219AA" w:rsidRDefault="004219AA" w:rsidP="004219AA">
      <w:pPr>
        <w:autoSpaceDE w:val="0"/>
        <w:autoSpaceDN w:val="0"/>
        <w:adjustRightInd w:val="0"/>
        <w:rPr>
          <w:sz w:val="22"/>
          <w:szCs w:val="22"/>
        </w:rPr>
      </w:pPr>
      <w:r>
        <w:rPr>
          <w:rFonts w:cs="Verdana_5"/>
          <w:sz w:val="22"/>
          <w:szCs w:val="22"/>
        </w:rPr>
        <w:t xml:space="preserve">This option is being chosen due to the historically low number of GRP applications in the state (less than 5 per year). </w:t>
      </w:r>
      <w:r w:rsidRPr="004219AA">
        <w:rPr>
          <w:rFonts w:cs="Verdana"/>
          <w:sz w:val="22"/>
          <w:szCs w:val="22"/>
        </w:rPr>
        <w:t>USPAP appraisals may be used to determine fair</w:t>
      </w:r>
      <w:r>
        <w:rPr>
          <w:rFonts w:cs="Verdana"/>
          <w:sz w:val="22"/>
          <w:szCs w:val="22"/>
        </w:rPr>
        <w:t xml:space="preserve"> </w:t>
      </w:r>
      <w:r w:rsidRPr="004219AA">
        <w:rPr>
          <w:rFonts w:cs="Verdana"/>
          <w:sz w:val="22"/>
          <w:szCs w:val="22"/>
        </w:rPr>
        <w:t xml:space="preserve">market value of </w:t>
      </w:r>
      <w:r w:rsidR="00437B13">
        <w:rPr>
          <w:rFonts w:cs="Verdana"/>
          <w:sz w:val="22"/>
          <w:szCs w:val="22"/>
        </w:rPr>
        <w:t>un</w:t>
      </w:r>
      <w:r w:rsidRPr="004219AA">
        <w:rPr>
          <w:rFonts w:cs="Verdana"/>
          <w:sz w:val="22"/>
          <w:szCs w:val="22"/>
        </w:rPr>
        <w:t>encumbered grasslands instead of the AWMA</w:t>
      </w:r>
      <w:r>
        <w:rPr>
          <w:rFonts w:cs="Verdana"/>
          <w:sz w:val="22"/>
          <w:szCs w:val="22"/>
        </w:rPr>
        <w:t xml:space="preserve">. The statement of work for individual appraisals will specify that the FMV will be </w:t>
      </w:r>
      <w:r w:rsidR="00B901BD">
        <w:rPr>
          <w:rFonts w:cs="Verdana"/>
          <w:sz w:val="22"/>
          <w:szCs w:val="22"/>
        </w:rPr>
        <w:t xml:space="preserve">for </w:t>
      </w:r>
      <w:r w:rsidR="00437B13">
        <w:rPr>
          <w:rFonts w:cs="Verdana"/>
          <w:sz w:val="22"/>
          <w:szCs w:val="22"/>
        </w:rPr>
        <w:t>un</w:t>
      </w:r>
      <w:r w:rsidR="00B901BD">
        <w:rPr>
          <w:rFonts w:cs="Verdana"/>
          <w:sz w:val="22"/>
          <w:szCs w:val="22"/>
        </w:rPr>
        <w:t>encumbered lands</w:t>
      </w:r>
      <w:r>
        <w:rPr>
          <w:rFonts w:cs="Verdana"/>
          <w:sz w:val="22"/>
          <w:szCs w:val="22"/>
        </w:rPr>
        <w:t>.</w:t>
      </w:r>
    </w:p>
    <w:p w:rsidR="00A52786" w:rsidRDefault="00A52786" w:rsidP="009B3AA1">
      <w:pPr>
        <w:rPr>
          <w:sz w:val="22"/>
          <w:szCs w:val="22"/>
        </w:rPr>
      </w:pPr>
    </w:p>
    <w:p w:rsidR="00A01C83" w:rsidRDefault="00A01C83" w:rsidP="009B3AA1">
      <w:pPr>
        <w:rPr>
          <w:sz w:val="22"/>
          <w:szCs w:val="22"/>
        </w:rPr>
      </w:pPr>
    </w:p>
    <w:p w:rsidR="00AA73A1" w:rsidRDefault="00AA73A1" w:rsidP="009B3AA1">
      <w:pPr>
        <w:rPr>
          <w:sz w:val="22"/>
          <w:szCs w:val="22"/>
        </w:rPr>
      </w:pPr>
    </w:p>
    <w:p w:rsidR="007B224D" w:rsidRPr="00A471D2" w:rsidRDefault="007B224D" w:rsidP="007B224D">
      <w:pPr>
        <w:pStyle w:val="ListParagraph"/>
        <w:numPr>
          <w:ilvl w:val="0"/>
          <w:numId w:val="4"/>
        </w:numPr>
        <w:autoSpaceDE w:val="0"/>
        <w:autoSpaceDN w:val="0"/>
        <w:adjustRightInd w:val="0"/>
        <w:rPr>
          <w:rFonts w:cs="Verdana_5"/>
          <w:b/>
          <w:i/>
          <w:sz w:val="22"/>
          <w:szCs w:val="22"/>
        </w:rPr>
      </w:pPr>
      <w:r>
        <w:rPr>
          <w:b/>
          <w:i/>
          <w:sz w:val="22"/>
          <w:szCs w:val="22"/>
        </w:rPr>
        <w:t>For fiscal year 2013 NRCS Washington is</w:t>
      </w:r>
      <w:r w:rsidR="005761E5">
        <w:rPr>
          <w:b/>
          <w:i/>
          <w:sz w:val="22"/>
          <w:szCs w:val="22"/>
        </w:rPr>
        <w:t xml:space="preserve"> proposing to set the </w:t>
      </w:r>
      <w:r w:rsidR="00A01C83">
        <w:rPr>
          <w:b/>
          <w:i/>
          <w:sz w:val="22"/>
          <w:szCs w:val="22"/>
        </w:rPr>
        <w:t xml:space="preserve">GRP </w:t>
      </w:r>
      <w:r w:rsidR="005761E5">
        <w:rPr>
          <w:b/>
          <w:i/>
          <w:sz w:val="22"/>
          <w:szCs w:val="22"/>
        </w:rPr>
        <w:t>GARC at 52</w:t>
      </w:r>
      <w:r>
        <w:rPr>
          <w:b/>
          <w:i/>
          <w:sz w:val="22"/>
          <w:szCs w:val="22"/>
        </w:rPr>
        <w:t>% of the individual appraisal value</w:t>
      </w:r>
      <w:r w:rsidR="002905D6">
        <w:rPr>
          <w:b/>
          <w:i/>
          <w:sz w:val="22"/>
          <w:szCs w:val="22"/>
        </w:rPr>
        <w:t>, not to exceed $5,000 per acre</w:t>
      </w:r>
      <w:r w:rsidR="00902771">
        <w:rPr>
          <w:b/>
          <w:i/>
          <w:sz w:val="22"/>
          <w:szCs w:val="22"/>
        </w:rPr>
        <w:t>.</w:t>
      </w:r>
    </w:p>
    <w:p w:rsidR="001F4855" w:rsidRPr="001F4855" w:rsidRDefault="001F4855" w:rsidP="007B224D">
      <w:pPr>
        <w:rPr>
          <w:sz w:val="22"/>
          <w:szCs w:val="22"/>
        </w:rPr>
      </w:pPr>
    </w:p>
    <w:p w:rsidR="002905D6" w:rsidRDefault="0023675A" w:rsidP="007B224D">
      <w:pPr>
        <w:rPr>
          <w:sz w:val="22"/>
          <w:szCs w:val="22"/>
        </w:rPr>
      </w:pPr>
      <w:r w:rsidRPr="0023675A">
        <w:rPr>
          <w:b/>
          <w:i/>
          <w:sz w:val="22"/>
          <w:szCs w:val="22"/>
        </w:rPr>
        <w:t>Rationale:</w:t>
      </w:r>
      <w:r>
        <w:rPr>
          <w:sz w:val="22"/>
          <w:szCs w:val="22"/>
        </w:rPr>
        <w:t xml:space="preserve"> </w:t>
      </w:r>
      <w:r w:rsidR="00AA73A1">
        <w:rPr>
          <w:sz w:val="22"/>
          <w:szCs w:val="22"/>
        </w:rPr>
        <w:t>By NRCS policy, a GARC should be established to ensure that the final GRP easement compensation is less than the FMV of the land, less the retained grazing value of the land. A method must be chosen to establish the grazing value of the land. WA-NRCS will utilize 2012 land values as reported by the National Agricultural Statistics Service (NASS) for Washington State.</w:t>
      </w:r>
    </w:p>
    <w:p w:rsidR="002905D6" w:rsidRDefault="002905D6" w:rsidP="007B224D">
      <w:pPr>
        <w:rPr>
          <w:sz w:val="22"/>
          <w:szCs w:val="22"/>
        </w:rPr>
      </w:pPr>
    </w:p>
    <w:p w:rsidR="00AA73A1" w:rsidRDefault="00C23A59" w:rsidP="007B224D">
      <w:pPr>
        <w:rPr>
          <w:sz w:val="22"/>
          <w:szCs w:val="22"/>
        </w:rPr>
      </w:pPr>
      <w:r>
        <w:rPr>
          <w:sz w:val="22"/>
          <w:szCs w:val="22"/>
        </w:rPr>
        <w:t>Looking at 2012 dat</w:t>
      </w:r>
      <w:r w:rsidR="00AA73A1">
        <w:rPr>
          <w:sz w:val="22"/>
          <w:szCs w:val="22"/>
        </w:rPr>
        <w:t>a from NASS</w:t>
      </w:r>
      <w:r>
        <w:rPr>
          <w:sz w:val="22"/>
          <w:szCs w:val="22"/>
        </w:rPr>
        <w:t>, pasture land values in Washington State are approximately 35.2 % of overall farmland values (includes cropland</w:t>
      </w:r>
      <w:r w:rsidR="001F4855">
        <w:rPr>
          <w:sz w:val="22"/>
          <w:szCs w:val="22"/>
        </w:rPr>
        <w:t xml:space="preserve"> and pasture</w:t>
      </w:r>
      <w:r>
        <w:rPr>
          <w:sz w:val="22"/>
          <w:szCs w:val="22"/>
        </w:rPr>
        <w:t xml:space="preserve"> value, buildings and improvements). One could conclude that the grazing value of pasture land represents roughly one-third, or in this case 35.2%, of the fair market value (FMV) of unencumbered lands typically enrolled in the GRP. Therefore, the encumbered FMV of the </w:t>
      </w:r>
    </w:p>
    <w:p w:rsidR="00AA73A1" w:rsidRDefault="00AA73A1" w:rsidP="007B224D">
      <w:pPr>
        <w:rPr>
          <w:sz w:val="22"/>
          <w:szCs w:val="22"/>
        </w:rPr>
      </w:pPr>
    </w:p>
    <w:p w:rsidR="00AA73A1" w:rsidRDefault="00AA73A1" w:rsidP="007B224D">
      <w:pPr>
        <w:rPr>
          <w:sz w:val="22"/>
          <w:szCs w:val="22"/>
        </w:rPr>
      </w:pPr>
    </w:p>
    <w:p w:rsidR="00AA73A1" w:rsidRDefault="00C23A59" w:rsidP="007B224D">
      <w:pPr>
        <w:rPr>
          <w:sz w:val="22"/>
          <w:szCs w:val="22"/>
        </w:rPr>
      </w:pPr>
      <w:proofErr w:type="gramStart"/>
      <w:r>
        <w:rPr>
          <w:sz w:val="22"/>
          <w:szCs w:val="22"/>
        </w:rPr>
        <w:t>land</w:t>
      </w:r>
      <w:proofErr w:type="gramEnd"/>
      <w:r>
        <w:rPr>
          <w:sz w:val="22"/>
          <w:szCs w:val="22"/>
        </w:rPr>
        <w:t xml:space="preserve"> enrolled in GRP would be approximately 64.8% of the appraised value (appraised value less the retained grazing value = encumbered value). </w:t>
      </w:r>
    </w:p>
    <w:p w:rsidR="00AA73A1" w:rsidRDefault="00AA73A1" w:rsidP="007B224D">
      <w:pPr>
        <w:rPr>
          <w:sz w:val="22"/>
          <w:szCs w:val="22"/>
        </w:rPr>
      </w:pPr>
    </w:p>
    <w:p w:rsidR="00C23A59" w:rsidRDefault="001F4855" w:rsidP="007B224D">
      <w:pPr>
        <w:rPr>
          <w:sz w:val="22"/>
          <w:szCs w:val="22"/>
        </w:rPr>
      </w:pPr>
      <w:r>
        <w:rPr>
          <w:sz w:val="22"/>
          <w:szCs w:val="22"/>
        </w:rPr>
        <w:t xml:space="preserve">Under </w:t>
      </w:r>
      <w:r w:rsidRPr="00AA73A1">
        <w:rPr>
          <w:i/>
          <w:sz w:val="22"/>
          <w:szCs w:val="22"/>
        </w:rPr>
        <w:t>WRP</w:t>
      </w:r>
      <w:r>
        <w:rPr>
          <w:sz w:val="22"/>
          <w:szCs w:val="22"/>
        </w:rPr>
        <w:t xml:space="preserve"> the </w:t>
      </w:r>
      <w:r w:rsidR="00AA73A1">
        <w:rPr>
          <w:sz w:val="22"/>
          <w:szCs w:val="22"/>
        </w:rPr>
        <w:t xml:space="preserve">FY2013 </w:t>
      </w:r>
      <w:r>
        <w:rPr>
          <w:sz w:val="22"/>
          <w:szCs w:val="22"/>
        </w:rPr>
        <w:t xml:space="preserve">GARC value is 80% of the FMV (derived from an AWMA). </w:t>
      </w:r>
      <w:r w:rsidR="008C1BF4">
        <w:rPr>
          <w:sz w:val="22"/>
          <w:szCs w:val="22"/>
        </w:rPr>
        <w:t xml:space="preserve">The 80% value recognizes that most of the non-grazing land use rights will be acquired in the easement, but not all. The landowner retains fee title to the land and the right to compatible recreational uses and quiet enjoyment. </w:t>
      </w:r>
      <w:r>
        <w:rPr>
          <w:sz w:val="22"/>
          <w:szCs w:val="22"/>
        </w:rPr>
        <w:t>Using that same 80% GARC value, the GRP easement compensation would be 80% of the encumbered FMV</w:t>
      </w:r>
      <w:r w:rsidR="008C1BF4">
        <w:rPr>
          <w:sz w:val="22"/>
          <w:szCs w:val="22"/>
        </w:rPr>
        <w:t xml:space="preserve"> </w:t>
      </w:r>
      <w:r>
        <w:rPr>
          <w:sz w:val="22"/>
          <w:szCs w:val="22"/>
        </w:rPr>
        <w:t>(64.8%</w:t>
      </w:r>
      <w:r w:rsidR="00AA73A1">
        <w:rPr>
          <w:sz w:val="22"/>
          <w:szCs w:val="22"/>
        </w:rPr>
        <w:t xml:space="preserve"> of unencumbered value</w:t>
      </w:r>
      <w:r>
        <w:rPr>
          <w:sz w:val="22"/>
          <w:szCs w:val="22"/>
        </w:rPr>
        <w:t xml:space="preserve">) for a calculated factor of 51.84%.of the appraised FMV. </w:t>
      </w:r>
      <w:r w:rsidR="002905D6">
        <w:rPr>
          <w:sz w:val="22"/>
          <w:szCs w:val="22"/>
        </w:rPr>
        <w:t>We can round this up to 52% for the GARC</w:t>
      </w:r>
      <w:r>
        <w:rPr>
          <w:sz w:val="22"/>
          <w:szCs w:val="22"/>
        </w:rPr>
        <w:t xml:space="preserve"> for easement compensation</w:t>
      </w:r>
    </w:p>
    <w:p w:rsidR="002905D6" w:rsidRDefault="002905D6" w:rsidP="007B224D">
      <w:pPr>
        <w:rPr>
          <w:sz w:val="22"/>
          <w:szCs w:val="22"/>
        </w:rPr>
      </w:pPr>
    </w:p>
    <w:p w:rsidR="007B224D" w:rsidRDefault="00AA73A1" w:rsidP="007B224D">
      <w:pPr>
        <w:rPr>
          <w:sz w:val="22"/>
          <w:szCs w:val="22"/>
        </w:rPr>
      </w:pPr>
      <w:r>
        <w:rPr>
          <w:sz w:val="22"/>
          <w:szCs w:val="22"/>
        </w:rPr>
        <w:t>Based on past GARC values</w:t>
      </w:r>
      <w:r w:rsidR="00902771">
        <w:rPr>
          <w:sz w:val="22"/>
          <w:szCs w:val="22"/>
        </w:rPr>
        <w:t xml:space="preserve"> in Washington, and </w:t>
      </w:r>
      <w:r w:rsidR="00622BD6">
        <w:rPr>
          <w:sz w:val="22"/>
          <w:szCs w:val="22"/>
        </w:rPr>
        <w:t xml:space="preserve">in </w:t>
      </w:r>
      <w:r w:rsidR="00902771">
        <w:rPr>
          <w:sz w:val="22"/>
          <w:szCs w:val="22"/>
        </w:rPr>
        <w:t>comparison with Oregon’s FY2013 GRP GARC,</w:t>
      </w:r>
      <w:r w:rsidR="00B901BD">
        <w:rPr>
          <w:sz w:val="22"/>
          <w:szCs w:val="22"/>
        </w:rPr>
        <w:t xml:space="preserve"> the proposed</w:t>
      </w:r>
      <w:r w:rsidR="00902771">
        <w:rPr>
          <w:sz w:val="22"/>
          <w:szCs w:val="22"/>
        </w:rPr>
        <w:t xml:space="preserve"> </w:t>
      </w:r>
      <w:r>
        <w:rPr>
          <w:sz w:val="22"/>
          <w:szCs w:val="22"/>
        </w:rPr>
        <w:t xml:space="preserve">GARC </w:t>
      </w:r>
      <w:r w:rsidR="00902771">
        <w:rPr>
          <w:sz w:val="22"/>
          <w:szCs w:val="22"/>
        </w:rPr>
        <w:t>value is deemed to be reasonable</w:t>
      </w:r>
      <w:r w:rsidR="00622BD6">
        <w:rPr>
          <w:sz w:val="22"/>
          <w:szCs w:val="22"/>
        </w:rPr>
        <w:t xml:space="preserve"> (Idaho’s 2013 values are unavailable at this time)</w:t>
      </w:r>
      <w:r>
        <w:rPr>
          <w:sz w:val="22"/>
          <w:szCs w:val="22"/>
        </w:rPr>
        <w:t>.</w:t>
      </w:r>
    </w:p>
    <w:p w:rsidR="004278FB" w:rsidRDefault="004278FB" w:rsidP="009B3AA1">
      <w:pPr>
        <w:rPr>
          <w:sz w:val="22"/>
          <w:szCs w:val="22"/>
        </w:rPr>
      </w:pPr>
    </w:p>
    <w:p w:rsidR="00426999" w:rsidRDefault="00426999" w:rsidP="009B3AA1">
      <w:pPr>
        <w:rPr>
          <w:sz w:val="22"/>
          <w:szCs w:val="22"/>
        </w:rPr>
      </w:pPr>
    </w:p>
    <w:sectPr w:rsidR="00426999" w:rsidSect="00D42D6D">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D2" w:rsidRDefault="00A471D2">
      <w:r>
        <w:separator/>
      </w:r>
    </w:p>
  </w:endnote>
  <w:endnote w:type="continuationSeparator" w:id="0">
    <w:p w:rsidR="00A471D2" w:rsidRDefault="00A471D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Verdana_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D2" w:rsidRDefault="00A471D2">
    <w:pPr>
      <w:pStyle w:val="Footer"/>
    </w:pPr>
    <w:r w:rsidRPr="00D42D6D">
      <w:rPr>
        <w:noProof/>
      </w:rPr>
      <w:drawing>
        <wp:anchor distT="0" distB="0" distL="114300" distR="114300" simplePos="0" relativeHeight="251660288" behindDoc="0" locked="0" layoutInCell="1" allowOverlap="1">
          <wp:simplePos x="0" y="0"/>
          <wp:positionH relativeFrom="column">
            <wp:posOffset>2151431</wp:posOffset>
          </wp:positionH>
          <wp:positionV relativeFrom="paragraph">
            <wp:posOffset>33934</wp:posOffset>
          </wp:positionV>
          <wp:extent cx="1890217" cy="475488"/>
          <wp:effectExtent l="19050" t="0" r="0" b="0"/>
          <wp:wrapNone/>
          <wp:docPr id="1" name="Picture 6" descr="HPHt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HtLEx"/>
                  <pic:cNvPicPr>
                    <a:picLocks noChangeAspect="1" noChangeArrowheads="1"/>
                  </pic:cNvPicPr>
                </pic:nvPicPr>
                <pic:blipFill>
                  <a:blip r:embed="rId1"/>
                  <a:srcRect/>
                  <a:stretch>
                    <a:fillRect/>
                  </a:stretch>
                </pic:blipFill>
                <pic:spPr bwMode="auto">
                  <a:xfrm>
                    <a:off x="0" y="0"/>
                    <a:ext cx="1890217" cy="475488"/>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D2" w:rsidRDefault="00A471D2">
    <w:pPr>
      <w:pStyle w:val="Footer"/>
    </w:pPr>
    <w:r>
      <w:rPr>
        <w:noProof/>
      </w:rPr>
      <w:drawing>
        <wp:anchor distT="0" distB="0" distL="114300" distR="114300" simplePos="0" relativeHeight="251658240" behindDoc="0" locked="0" layoutInCell="1" allowOverlap="1">
          <wp:simplePos x="0" y="0"/>
          <wp:positionH relativeFrom="column">
            <wp:posOffset>1994535</wp:posOffset>
          </wp:positionH>
          <wp:positionV relativeFrom="paragraph">
            <wp:posOffset>35560</wp:posOffset>
          </wp:positionV>
          <wp:extent cx="1889760" cy="416560"/>
          <wp:effectExtent l="19050" t="0" r="0" b="0"/>
          <wp:wrapNone/>
          <wp:docPr id="6" name="Picture 6" descr="HPHt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HtLEx"/>
                  <pic:cNvPicPr>
                    <a:picLocks noChangeAspect="1" noChangeArrowheads="1"/>
                  </pic:cNvPicPr>
                </pic:nvPicPr>
                <pic:blipFill>
                  <a:blip r:embed="rId1"/>
                  <a:srcRect/>
                  <a:stretch>
                    <a:fillRect/>
                  </a:stretch>
                </pic:blipFill>
                <pic:spPr bwMode="auto">
                  <a:xfrm>
                    <a:off x="0" y="0"/>
                    <a:ext cx="1889760" cy="4165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D2" w:rsidRDefault="00A471D2">
      <w:r>
        <w:separator/>
      </w:r>
    </w:p>
  </w:footnote>
  <w:footnote w:type="continuationSeparator" w:id="0">
    <w:p w:rsidR="00A471D2" w:rsidRDefault="00A47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D2" w:rsidRDefault="00A471D2">
    <w:pPr>
      <w:pStyle w:val="Header"/>
    </w:pPr>
    <w:r>
      <w:t>Washington NRCS WRP Geographic Area Rate Caps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D2" w:rsidRDefault="00BD76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468pt;height:43.2pt;z-index:251657216;visibility:visible;mso-wrap-edited:f" o:allowincell="f">
          <v:imagedata r:id="rId1" o:title="" gain="1.5625" grayscale="t" bilevel="t"/>
          <w10:wrap type="topAndBottom"/>
        </v:shape>
        <o:OLEObject Type="Embed" ProgID="Word.Picture.8" ShapeID="_x0000_s2049" DrawAspect="Content" ObjectID="_1412502225" r:id="rId2"/>
      </w:pict>
    </w:r>
  </w:p>
  <w:p w:rsidR="00A471D2" w:rsidRDefault="00A471D2">
    <w:pPr>
      <w:pStyle w:val="Header"/>
    </w:pPr>
  </w:p>
  <w:p w:rsidR="00A471D2" w:rsidRDefault="00A471D2">
    <w:pPr>
      <w:pStyle w:val="Header"/>
    </w:pPr>
  </w:p>
  <w:p w:rsidR="00A471D2" w:rsidRDefault="00A471D2">
    <w:pPr>
      <w:pStyle w:val="Header"/>
    </w:pPr>
  </w:p>
  <w:p w:rsidR="00A471D2" w:rsidRDefault="00A471D2">
    <w:pPr>
      <w:pStyle w:val="Header"/>
      <w:tabs>
        <w:tab w:val="clear" w:pos="8640"/>
        <w:tab w:val="right" w:pos="9270"/>
      </w:tabs>
      <w:rPr>
        <w:rFonts w:ascii="Arial" w:hAnsi="Arial"/>
        <w:color w:val="000000"/>
        <w:sz w:val="16"/>
      </w:rPr>
    </w:pPr>
    <w:r>
      <w:rPr>
        <w:rFonts w:ascii="Arial" w:hAnsi="Arial"/>
        <w:color w:val="000000"/>
        <w:sz w:val="16"/>
      </w:rPr>
      <w:t>Natural Resources Conservation Service</w:t>
    </w:r>
  </w:p>
  <w:p w:rsidR="00A471D2" w:rsidRDefault="00A471D2">
    <w:pPr>
      <w:pStyle w:val="Header"/>
      <w:tabs>
        <w:tab w:val="clear" w:pos="8640"/>
        <w:tab w:val="right" w:pos="9270"/>
      </w:tabs>
      <w:rPr>
        <w:rFonts w:ascii="Arial" w:hAnsi="Arial"/>
        <w:color w:val="000000"/>
        <w:sz w:val="16"/>
      </w:rPr>
    </w:pPr>
    <w:r>
      <w:rPr>
        <w:rFonts w:ascii="Arial" w:hAnsi="Arial"/>
        <w:color w:val="000000"/>
        <w:sz w:val="16"/>
      </w:rPr>
      <w:t>316 W. Boone Ave. Suite 450</w:t>
    </w:r>
    <w:r>
      <w:rPr>
        <w:rFonts w:ascii="Arial" w:hAnsi="Arial"/>
        <w:color w:val="000000"/>
        <w:sz w:val="16"/>
      </w:rPr>
      <w:tab/>
    </w:r>
    <w:r>
      <w:rPr>
        <w:rFonts w:ascii="Arial" w:hAnsi="Arial"/>
        <w:color w:val="000000"/>
        <w:sz w:val="16"/>
      </w:rPr>
      <w:tab/>
      <w:t>phone 509-323-2900</w:t>
    </w:r>
  </w:p>
  <w:p w:rsidR="00A471D2" w:rsidRDefault="00A471D2">
    <w:pPr>
      <w:pStyle w:val="Header"/>
      <w:tabs>
        <w:tab w:val="clear" w:pos="8640"/>
        <w:tab w:val="right" w:pos="9270"/>
      </w:tabs>
      <w:rPr>
        <w:rFonts w:ascii="Arial" w:hAnsi="Arial"/>
        <w:color w:val="000000"/>
        <w:sz w:val="16"/>
      </w:rPr>
    </w:pPr>
    <w:r>
      <w:rPr>
        <w:rFonts w:ascii="Arial" w:hAnsi="Arial"/>
        <w:color w:val="000000"/>
        <w:sz w:val="16"/>
      </w:rPr>
      <w:t>Spokane WA  99201-2348</w:t>
    </w:r>
    <w:r>
      <w:rPr>
        <w:rFonts w:ascii="Arial" w:hAnsi="Arial"/>
        <w:color w:val="000000"/>
        <w:sz w:val="16"/>
      </w:rPr>
      <w:tab/>
    </w:r>
    <w:r>
      <w:rPr>
        <w:rFonts w:ascii="Arial" w:hAnsi="Arial"/>
        <w:color w:val="000000"/>
        <w:sz w:val="16"/>
      </w:rPr>
      <w:tab/>
      <w:t>fax 509-323-2909</w:t>
    </w:r>
  </w:p>
  <w:p w:rsidR="00A471D2" w:rsidRDefault="00A471D2" w:rsidP="00E80666">
    <w:pPr>
      <w:pStyle w:val="Header"/>
      <w:tabs>
        <w:tab w:val="left" w:pos="6840"/>
        <w:tab w:val="left" w:pos="6930"/>
        <w:tab w:val="left" w:pos="7020"/>
      </w:tabs>
      <w:rPr>
        <w:rFonts w:ascii="Arial" w:hAnsi="Arial"/>
        <w:color w:val="000000"/>
        <w:sz w:val="16"/>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proofErr w:type="gramStart"/>
    <w:r>
      <w:rPr>
        <w:rFonts w:ascii="Arial" w:hAnsi="Arial"/>
        <w:color w:val="000000"/>
        <w:sz w:val="16"/>
      </w:rPr>
      <w:t>web</w:t>
    </w:r>
    <w:proofErr w:type="gramEnd"/>
    <w:r>
      <w:rPr>
        <w:rFonts w:ascii="Arial" w:hAnsi="Arial"/>
        <w:color w:val="000000"/>
        <w:sz w:val="16"/>
      </w:rPr>
      <w:t xml:space="preserve"> site www.wa.nrcs.usda.gov</w:t>
    </w:r>
  </w:p>
  <w:p w:rsidR="00A471D2" w:rsidRDefault="00A471D2" w:rsidP="00E80666">
    <w:pPr>
      <w:pStyle w:val="Header"/>
      <w:pBdr>
        <w:bottom w:val="single" w:sz="4" w:space="1" w:color="auto"/>
      </w:pBdr>
      <w:tabs>
        <w:tab w:val="left" w:pos="6840"/>
        <w:tab w:val="left" w:pos="6930"/>
        <w:tab w:val="left" w:pos="70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0A5D"/>
    <w:multiLevelType w:val="hybridMultilevel"/>
    <w:tmpl w:val="952C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36560"/>
    <w:multiLevelType w:val="hybridMultilevel"/>
    <w:tmpl w:val="BEFC51F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6594B"/>
    <w:multiLevelType w:val="hybridMultilevel"/>
    <w:tmpl w:val="BE16E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54535"/>
    <w:multiLevelType w:val="hybridMultilevel"/>
    <w:tmpl w:val="A1B66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4396B"/>
    <w:rsid w:val="000049E4"/>
    <w:rsid w:val="000C16B9"/>
    <w:rsid w:val="000F1123"/>
    <w:rsid w:val="00153ECE"/>
    <w:rsid w:val="00166E82"/>
    <w:rsid w:val="001771DE"/>
    <w:rsid w:val="0019061F"/>
    <w:rsid w:val="001A5CC5"/>
    <w:rsid w:val="001F474E"/>
    <w:rsid w:val="001F4855"/>
    <w:rsid w:val="002007AA"/>
    <w:rsid w:val="00222017"/>
    <w:rsid w:val="00234683"/>
    <w:rsid w:val="0023675A"/>
    <w:rsid w:val="00260B1D"/>
    <w:rsid w:val="002905D6"/>
    <w:rsid w:val="002B000F"/>
    <w:rsid w:val="00323916"/>
    <w:rsid w:val="00352238"/>
    <w:rsid w:val="0036268B"/>
    <w:rsid w:val="00392C68"/>
    <w:rsid w:val="003938D8"/>
    <w:rsid w:val="003A6E99"/>
    <w:rsid w:val="003B6A01"/>
    <w:rsid w:val="003F43FE"/>
    <w:rsid w:val="004219AA"/>
    <w:rsid w:val="00423A3D"/>
    <w:rsid w:val="00426999"/>
    <w:rsid w:val="004278FB"/>
    <w:rsid w:val="00437B13"/>
    <w:rsid w:val="004A26ED"/>
    <w:rsid w:val="005761E5"/>
    <w:rsid w:val="005B1470"/>
    <w:rsid w:val="005C4386"/>
    <w:rsid w:val="005E6BC7"/>
    <w:rsid w:val="005F5536"/>
    <w:rsid w:val="00622BD6"/>
    <w:rsid w:val="00633327"/>
    <w:rsid w:val="006343BC"/>
    <w:rsid w:val="00682B45"/>
    <w:rsid w:val="006917C3"/>
    <w:rsid w:val="0069481E"/>
    <w:rsid w:val="006F2599"/>
    <w:rsid w:val="007B224D"/>
    <w:rsid w:val="007E046E"/>
    <w:rsid w:val="007E5C04"/>
    <w:rsid w:val="00884257"/>
    <w:rsid w:val="008A4BC7"/>
    <w:rsid w:val="008B7C87"/>
    <w:rsid w:val="008C1BF4"/>
    <w:rsid w:val="008E2274"/>
    <w:rsid w:val="00902771"/>
    <w:rsid w:val="0094138F"/>
    <w:rsid w:val="009B3AA1"/>
    <w:rsid w:val="009D0CAA"/>
    <w:rsid w:val="009E3D54"/>
    <w:rsid w:val="00A01C83"/>
    <w:rsid w:val="00A471D2"/>
    <w:rsid w:val="00A50837"/>
    <w:rsid w:val="00A52786"/>
    <w:rsid w:val="00A8090C"/>
    <w:rsid w:val="00A93340"/>
    <w:rsid w:val="00AA5347"/>
    <w:rsid w:val="00AA73A1"/>
    <w:rsid w:val="00AD1C64"/>
    <w:rsid w:val="00AD7EAD"/>
    <w:rsid w:val="00B901BD"/>
    <w:rsid w:val="00BC01F3"/>
    <w:rsid w:val="00BD7694"/>
    <w:rsid w:val="00BF2339"/>
    <w:rsid w:val="00C1087B"/>
    <w:rsid w:val="00C23A59"/>
    <w:rsid w:val="00C8023E"/>
    <w:rsid w:val="00CA2CF9"/>
    <w:rsid w:val="00CC14A5"/>
    <w:rsid w:val="00CC3BFE"/>
    <w:rsid w:val="00CD49D2"/>
    <w:rsid w:val="00CF73F9"/>
    <w:rsid w:val="00D40516"/>
    <w:rsid w:val="00D42D6D"/>
    <w:rsid w:val="00D637F0"/>
    <w:rsid w:val="00DB706C"/>
    <w:rsid w:val="00DC4205"/>
    <w:rsid w:val="00E11714"/>
    <w:rsid w:val="00E12649"/>
    <w:rsid w:val="00E1284B"/>
    <w:rsid w:val="00E17045"/>
    <w:rsid w:val="00E26049"/>
    <w:rsid w:val="00E4396B"/>
    <w:rsid w:val="00E80666"/>
    <w:rsid w:val="00EA6B2C"/>
    <w:rsid w:val="00F07D0F"/>
    <w:rsid w:val="00F114F9"/>
    <w:rsid w:val="00F357FB"/>
    <w:rsid w:val="00F82D40"/>
    <w:rsid w:val="00F93536"/>
    <w:rsid w:val="00FB2609"/>
    <w:rsid w:val="00FB366B"/>
    <w:rsid w:val="00FE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87B"/>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087B"/>
    <w:pPr>
      <w:tabs>
        <w:tab w:val="center" w:pos="4320"/>
        <w:tab w:val="right" w:pos="8640"/>
      </w:tabs>
    </w:pPr>
  </w:style>
  <w:style w:type="paragraph" w:styleId="Footer">
    <w:name w:val="footer"/>
    <w:basedOn w:val="Normal"/>
    <w:rsid w:val="00C1087B"/>
    <w:pPr>
      <w:tabs>
        <w:tab w:val="center" w:pos="4320"/>
        <w:tab w:val="right" w:pos="8640"/>
      </w:tabs>
    </w:pPr>
  </w:style>
  <w:style w:type="character" w:styleId="Hyperlink">
    <w:name w:val="Hyperlink"/>
    <w:basedOn w:val="DefaultParagraphFont"/>
    <w:rsid w:val="00C1087B"/>
    <w:rPr>
      <w:color w:val="0000FF"/>
      <w:u w:val="single"/>
    </w:rPr>
  </w:style>
  <w:style w:type="paragraph" w:styleId="Closing">
    <w:name w:val="Closing"/>
    <w:basedOn w:val="Normal"/>
    <w:link w:val="ClosingChar"/>
    <w:rsid w:val="0019061F"/>
    <w:pPr>
      <w:spacing w:line="220" w:lineRule="atLeast"/>
      <w:ind w:left="835"/>
    </w:pPr>
    <w:rPr>
      <w:rFonts w:ascii="Times New Roman" w:hAnsi="Times New Roman"/>
    </w:rPr>
  </w:style>
  <w:style w:type="character" w:customStyle="1" w:styleId="ClosingChar">
    <w:name w:val="Closing Char"/>
    <w:basedOn w:val="DefaultParagraphFont"/>
    <w:link w:val="Closing"/>
    <w:rsid w:val="0019061F"/>
  </w:style>
  <w:style w:type="paragraph" w:styleId="BalloonText">
    <w:name w:val="Balloon Text"/>
    <w:basedOn w:val="Normal"/>
    <w:link w:val="BalloonTextChar"/>
    <w:rsid w:val="00E1284B"/>
    <w:rPr>
      <w:rFonts w:ascii="Tahoma" w:hAnsi="Tahoma" w:cs="Tahoma"/>
      <w:sz w:val="16"/>
      <w:szCs w:val="16"/>
    </w:rPr>
  </w:style>
  <w:style w:type="character" w:customStyle="1" w:styleId="BalloonTextChar">
    <w:name w:val="Balloon Text Char"/>
    <w:basedOn w:val="DefaultParagraphFont"/>
    <w:link w:val="BalloonText"/>
    <w:rsid w:val="00E1284B"/>
    <w:rPr>
      <w:rFonts w:ascii="Tahoma" w:hAnsi="Tahoma" w:cs="Tahoma"/>
      <w:sz w:val="16"/>
      <w:szCs w:val="16"/>
    </w:rPr>
  </w:style>
  <w:style w:type="paragraph" w:customStyle="1" w:styleId="Default">
    <w:name w:val="Default"/>
    <w:rsid w:val="00CC14A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114F9"/>
    <w:pPr>
      <w:ind w:left="720"/>
      <w:contextualSpacing/>
    </w:pPr>
  </w:style>
  <w:style w:type="character" w:customStyle="1" w:styleId="HeaderChar">
    <w:name w:val="Header Char"/>
    <w:basedOn w:val="DefaultParagraphFont"/>
    <w:link w:val="Header"/>
    <w:uiPriority w:val="99"/>
    <w:rsid w:val="00AA5347"/>
    <w:rPr>
      <w:rFonts w:ascii="Trebuchet MS" w:hAnsi="Trebuchet MS"/>
    </w:rPr>
  </w:style>
</w:styles>
</file>

<file path=word/webSettings.xml><?xml version="1.0" encoding="utf-8"?>
<w:webSettings xmlns:r="http://schemas.openxmlformats.org/officeDocument/2006/relationships" xmlns:w="http://schemas.openxmlformats.org/wordprocessingml/2006/main">
  <w:divs>
    <w:div w:id="320738249">
      <w:bodyDiv w:val="1"/>
      <w:marLeft w:val="0"/>
      <w:marRight w:val="0"/>
      <w:marTop w:val="0"/>
      <w:marBottom w:val="0"/>
      <w:divBdr>
        <w:top w:val="none" w:sz="0" w:space="0" w:color="auto"/>
        <w:left w:val="none" w:sz="0" w:space="0" w:color="auto"/>
        <w:bottom w:val="none" w:sz="0" w:space="0" w:color="auto"/>
        <w:right w:val="none" w:sz="0" w:space="0" w:color="auto"/>
      </w:divBdr>
    </w:div>
    <w:div w:id="582956133">
      <w:bodyDiv w:val="1"/>
      <w:marLeft w:val="0"/>
      <w:marRight w:val="0"/>
      <w:marTop w:val="0"/>
      <w:marBottom w:val="0"/>
      <w:divBdr>
        <w:top w:val="none" w:sz="0" w:space="0" w:color="auto"/>
        <w:left w:val="none" w:sz="0" w:space="0" w:color="auto"/>
        <w:bottom w:val="none" w:sz="0" w:space="0" w:color="auto"/>
        <w:right w:val="none" w:sz="0" w:space="0" w:color="auto"/>
      </w:divBdr>
    </w:div>
    <w:div w:id="1073545598">
      <w:bodyDiv w:val="1"/>
      <w:marLeft w:val="0"/>
      <w:marRight w:val="0"/>
      <w:marTop w:val="0"/>
      <w:marBottom w:val="0"/>
      <w:divBdr>
        <w:top w:val="none" w:sz="0" w:space="0" w:color="auto"/>
        <w:left w:val="none" w:sz="0" w:space="0" w:color="auto"/>
        <w:bottom w:val="none" w:sz="0" w:space="0" w:color="auto"/>
        <w:right w:val="none" w:sz="0" w:space="0" w:color="auto"/>
      </w:divBdr>
    </w:div>
    <w:div w:id="11701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B44DF-2C57-4D89-B43C-8A745252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Compaq Computer Corp.</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dave.kreft</dc:creator>
  <cp:keywords/>
  <dc:description/>
  <cp:lastModifiedBy>dave.kreft</cp:lastModifiedBy>
  <cp:revision>14</cp:revision>
  <cp:lastPrinted>2007-02-05T17:41:00Z</cp:lastPrinted>
  <dcterms:created xsi:type="dcterms:W3CDTF">2012-10-22T23:42:00Z</dcterms:created>
  <dcterms:modified xsi:type="dcterms:W3CDTF">2012-10-23T19:57:00Z</dcterms:modified>
</cp:coreProperties>
</file>